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CONCURSO CIENCIA DE ANDAR POR CASA.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 I Edición del concurso Ciencia de Andar por Casa está organizada por la Delegación de Estudiantes de la Facultad de Ciencias Experimentales de la Universidad Miguel Hernández junto con la ayuda del Vicerrectorado de Innovación e Investigación. Patrocinan el concurso la empresa Proquimur, el Instituto de Bioingeniería, Instituto de Biología Molecular y Celular, Departamento de Bioquímica y Biología Molecular, el Vicerrectorado de Estudiantes y Deportes y FECYT, además colabora la empresa Catering45 y Nuevas Ideas Gráficas.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evento se realizará el viernes 8 de mayo por la tarde en el Centro de Congresos de Elche, como actividad dentro de la Feria de la Ciencia y Tecnología.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un concurso orientado a estudiantes universitarios de la Comunidad Valenciana y Región de Murcia sin importar el Grado o Máster que cursen.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número de grupos que queden finalistas, ya sea individualmente o como máximo de 3 personas, será de 12 como máximo.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En el concurso se realizarán los experimentos de máximo 10 minutos, estos serán presentados tanto al público como al jurado en las horas concretas que se definan. Los experimentos serán valorados teniendo en cuenta en un 60% la votación del jurado y un 40% la votación popular.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premio para los tres ganadores será de 500€ para el primer ganador, 300€ para el segundo y 100€ para el tercero. Estos premios serán ingresados a cuenta durante el curso académico.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poder participar se deberá mandar antes del 26 de abril la preinscripción en la siguiente web y mandar un vídeo de máximo 5 minutos en el que se presenten los participantes y se explique el experimento pero sin realizarlo explícitamente.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Web de inscripción:</w:t>
      </w:r>
    </w:p>
    <w:p w:rsidR="00000000" w:rsidDel="00000000" w:rsidP="00000000" w:rsidRDefault="00000000" w:rsidRPr="00000000">
      <w:pPr>
        <w:contextualSpacing w:val="0"/>
        <w:jc w:val="both"/>
      </w:pPr>
      <w:hyperlink r:id="rId5">
        <w:r w:rsidDel="00000000" w:rsidR="00000000" w:rsidRPr="00000000">
          <w:rPr>
            <w:color w:val="1155cc"/>
            <w:u w:val="single"/>
            <w:rtl w:val="0"/>
          </w:rPr>
          <w:t xml:space="preserve">https://docs.google.com/forms/d/1D-i05JwYUktq1pAiVCgvKzlRYd4LndLWINX_W_Q2Koc/viewform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Web con las bases del concurso:</w:t>
      </w:r>
    </w:p>
    <w:p w:rsidR="00000000" w:rsidDel="00000000" w:rsidP="00000000" w:rsidRDefault="00000000" w:rsidRPr="00000000">
      <w:pPr>
        <w:contextualSpacing w:val="0"/>
        <w:jc w:val="both"/>
      </w:pPr>
      <w:hyperlink r:id="rId6">
        <w:r w:rsidDel="00000000" w:rsidR="00000000" w:rsidRPr="00000000">
          <w:rPr>
            <w:color w:val="1155cc"/>
            <w:u w:val="single"/>
            <w:rtl w:val="0"/>
          </w:rPr>
          <w:t xml:space="preserve">http://fecitelx2015.umh.es/fecitelx/ciencia-y-tecnologia-de-todos-los-dias/ciencia-de-andar-por-casa/</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Gmail:</w:t>
      </w:r>
    </w:p>
    <w:p w:rsidR="00000000" w:rsidDel="00000000" w:rsidP="00000000" w:rsidRDefault="00000000" w:rsidRPr="00000000">
      <w:pPr>
        <w:contextualSpacing w:val="0"/>
      </w:pPr>
      <w:hyperlink r:id="rId7">
        <w:r w:rsidDel="00000000" w:rsidR="00000000" w:rsidRPr="00000000">
          <w:rPr>
            <w:color w:val="1155cc"/>
            <w:u w:val="single"/>
            <w:rtl w:val="0"/>
          </w:rPr>
          <w:t xml:space="preserve">cienciadeandarporcasa@gmail.com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Twitter: @ADNporcasa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Facebook: Ciencia de Andar por Casa</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fecitelx2015.umh.es/fecitelx/ciencia-y-tecnologia-de-todos-los-dias/ciencia-de-andar-por-casa/" TargetMode="External"/><Relationship Id="rId5" Type="http://schemas.openxmlformats.org/officeDocument/2006/relationships/hyperlink" Target="https://docs.google.com/forms/d/1D-i05JwYUktq1pAiVCgvKzlRYd4LndLWINX_W_Q2Koc/viewform" TargetMode="External"/><Relationship Id="rId7" Type="http://schemas.openxmlformats.org/officeDocument/2006/relationships/hyperlink" Target="mailto:cienciadeandarporcasa@gmail.com" TargetMode="External"/></Relationships>
</file>